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2B75" w14:textId="5BEE1243" w:rsidR="007559C9" w:rsidRDefault="003C45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61F6F3" wp14:editId="46C94FE2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265049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F19EB" w14:textId="13840657" w:rsidR="007559C9" w:rsidRPr="000C1C65" w:rsidRDefault="007559C9" w:rsidP="00755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1C6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Head of Girls </w:t>
                            </w:r>
                            <w:r w:rsidR="003C459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1F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0;width:208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U7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" stroked="f">
                <v:textbox style="mso-fit-shape-to-text:t">
                  <w:txbxContent>
                    <w:p w14:paraId="4C8F19EB" w14:textId="13840657" w:rsidR="007559C9" w:rsidRPr="000C1C65" w:rsidRDefault="007559C9" w:rsidP="00755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C1C65">
                        <w:rPr>
                          <w:b/>
                          <w:bCs/>
                          <w:sz w:val="36"/>
                          <w:szCs w:val="36"/>
                        </w:rPr>
                        <w:t xml:space="preserve">Head of Girls </w:t>
                      </w:r>
                      <w:r w:rsidR="003C459F">
                        <w:rPr>
                          <w:b/>
                          <w:bCs/>
                          <w:sz w:val="36"/>
                          <w:szCs w:val="36"/>
                        </w:rPr>
                        <w:t>Pathway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C65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7E6BA32" wp14:editId="35E185A3">
            <wp:simplePos x="0" y="0"/>
            <wp:positionH relativeFrom="column">
              <wp:posOffset>4587240</wp:posOffset>
            </wp:positionH>
            <wp:positionV relativeFrom="paragraph">
              <wp:posOffset>-127635</wp:posOffset>
            </wp:positionV>
            <wp:extent cx="967740" cy="1114026"/>
            <wp:effectExtent l="0" t="0" r="3810" b="0"/>
            <wp:wrapNone/>
            <wp:docPr id="1" name="Picture 1" descr="A yellow and blu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u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0DA2C" w14:textId="1C6ACE65" w:rsidR="007559C9" w:rsidRDefault="007559C9"/>
    <w:p w14:paraId="342B77AD" w14:textId="3ECE3F5B" w:rsidR="007559C9" w:rsidRDefault="007559C9" w:rsidP="00657BDF">
      <w:pPr>
        <w:jc w:val="left"/>
      </w:pPr>
    </w:p>
    <w:p w14:paraId="36E70B7E" w14:textId="77777777" w:rsidR="00657BDF" w:rsidRDefault="00657BDF" w:rsidP="00657BDF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2184F" w14:paraId="44C6340C" w14:textId="77777777" w:rsidTr="00FF4587">
        <w:tc>
          <w:tcPr>
            <w:tcW w:w="4248" w:type="dxa"/>
          </w:tcPr>
          <w:p w14:paraId="56959D73" w14:textId="47E5EC48" w:rsidR="0002184F" w:rsidRDefault="00234DEB" w:rsidP="0002184F">
            <w:pPr>
              <w:jc w:val="left"/>
            </w:pPr>
            <w:r>
              <w:t xml:space="preserve">Reporting to: </w:t>
            </w:r>
            <w:r w:rsidR="00BD39DB">
              <w:t xml:space="preserve">Women’s </w:t>
            </w:r>
            <w:r w:rsidR="00DF7A23">
              <w:t>General Manager</w:t>
            </w:r>
          </w:p>
        </w:tc>
      </w:tr>
      <w:tr w:rsidR="0002184F" w14:paraId="3A8989A9" w14:textId="77777777" w:rsidTr="00FF4587">
        <w:tc>
          <w:tcPr>
            <w:tcW w:w="4248" w:type="dxa"/>
          </w:tcPr>
          <w:p w14:paraId="02C78016" w14:textId="0B67187E" w:rsidR="0002184F" w:rsidRDefault="00DF7A23" w:rsidP="0002184F">
            <w:pPr>
              <w:jc w:val="left"/>
            </w:pPr>
            <w:r>
              <w:t>Location: Oxford United Sports Park, OX4</w:t>
            </w:r>
          </w:p>
        </w:tc>
      </w:tr>
      <w:tr w:rsidR="0002184F" w14:paraId="56D5923A" w14:textId="77777777" w:rsidTr="00FF4587">
        <w:tc>
          <w:tcPr>
            <w:tcW w:w="4248" w:type="dxa"/>
          </w:tcPr>
          <w:p w14:paraId="4972DEAE" w14:textId="21BF3819" w:rsidR="0002184F" w:rsidRDefault="00DF7A23" w:rsidP="0002184F">
            <w:pPr>
              <w:jc w:val="left"/>
            </w:pPr>
            <w:r>
              <w:t>Hours: Part-time</w:t>
            </w:r>
            <w:r w:rsidR="002A73E1">
              <w:t xml:space="preserve"> 0.6</w:t>
            </w:r>
            <w:r w:rsidR="005A735F">
              <w:t>FTE</w:t>
            </w:r>
          </w:p>
        </w:tc>
      </w:tr>
    </w:tbl>
    <w:p w14:paraId="0F8E2F42" w14:textId="77777777" w:rsidR="007559C9" w:rsidRDefault="007559C9" w:rsidP="0002184F">
      <w:pPr>
        <w:jc w:val="left"/>
      </w:pPr>
    </w:p>
    <w:tbl>
      <w:tblPr>
        <w:tblW w:w="1049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DD4137" w14:paraId="385FB762" w14:textId="77777777" w:rsidTr="00293969">
        <w:trPr>
          <w:trHeight w:val="351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DF6BF" w14:textId="515CC879" w:rsidR="00DD4137" w:rsidRDefault="00DD4137" w:rsidP="00C368B7">
            <w:pPr>
              <w:jc w:val="left"/>
              <w:rPr>
                <w:rFonts w:ascii="Effra" w:hAnsi="Effra"/>
                <w:b/>
                <w:bCs/>
                <w:sz w:val="24"/>
                <w:szCs w:val="24"/>
              </w:rPr>
            </w:pPr>
            <w:r>
              <w:rPr>
                <w:rFonts w:ascii="Effra" w:hAnsi="Effra"/>
                <w:b/>
                <w:bCs/>
                <w:color w:val="000000"/>
                <w:sz w:val="24"/>
                <w:szCs w:val="24"/>
              </w:rPr>
              <w:t>Job purpose</w:t>
            </w:r>
          </w:p>
        </w:tc>
      </w:tr>
      <w:tr w:rsidR="00DD4137" w14:paraId="085EE51D" w14:textId="77777777" w:rsidTr="00293969">
        <w:trPr>
          <w:trHeight w:val="1061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CC23" w14:textId="77777777" w:rsidR="00293969" w:rsidRDefault="00293969" w:rsidP="006E59B5">
            <w:pPr>
              <w:jc w:val="left"/>
            </w:pPr>
          </w:p>
          <w:p w14:paraId="0F160F6A" w14:textId="3DEEBEA6" w:rsidR="00DD4137" w:rsidRDefault="00DD4137" w:rsidP="006E59B5">
            <w:pPr>
              <w:jc w:val="left"/>
              <w:rPr>
                <w:rFonts w:ascii="Effra" w:hAnsi="Effra"/>
              </w:rPr>
            </w:pPr>
            <w:r>
              <w:t xml:space="preserve">Oversee and drive the clubs girls programme. The </w:t>
            </w:r>
            <w:r w:rsidR="0006700D">
              <w:t xml:space="preserve">Head of </w:t>
            </w:r>
            <w:r w:rsidR="007559C9">
              <w:t>G</w:t>
            </w:r>
            <w:r w:rsidR="0006700D">
              <w:t>irls</w:t>
            </w:r>
            <w:r>
              <w:t xml:space="preserve"> role is to support the management of the coaching and support staff within the club, working closely with the General Manager.</w:t>
            </w:r>
            <w:r w:rsidR="00AC4465">
              <w:t xml:space="preserve"> </w:t>
            </w:r>
          </w:p>
          <w:p w14:paraId="5C5A1EDD" w14:textId="77777777" w:rsidR="00DD4137" w:rsidRDefault="00DD4137">
            <w:pPr>
              <w:jc w:val="left"/>
              <w:rPr>
                <w:rFonts w:ascii="Effra" w:hAnsi="Effra"/>
              </w:rPr>
            </w:pPr>
          </w:p>
        </w:tc>
      </w:tr>
      <w:tr w:rsidR="00DD4137" w14:paraId="7753EE55" w14:textId="77777777" w:rsidTr="00293969">
        <w:trPr>
          <w:trHeight w:val="30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4F38" w14:textId="77777777" w:rsidR="00DD4137" w:rsidRDefault="00DD4137">
            <w:pPr>
              <w:jc w:val="left"/>
              <w:rPr>
                <w:rFonts w:ascii="Effra" w:hAnsi="Effra"/>
                <w:b/>
                <w:bCs/>
                <w:sz w:val="24"/>
                <w:szCs w:val="24"/>
              </w:rPr>
            </w:pPr>
            <w:bookmarkStart w:id="0" w:name="_Hlk75332140"/>
            <w:r>
              <w:rPr>
                <w:rFonts w:ascii="Effra" w:hAnsi="Effra"/>
                <w:b/>
                <w:bCs/>
                <w:color w:val="000000"/>
                <w:sz w:val="24"/>
                <w:szCs w:val="24"/>
              </w:rPr>
              <w:t>Accountabilities</w:t>
            </w:r>
          </w:p>
        </w:tc>
        <w:bookmarkEnd w:id="0"/>
      </w:tr>
      <w:tr w:rsidR="00DD4137" w14:paraId="0C3ED718" w14:textId="77777777" w:rsidTr="00293969">
        <w:trPr>
          <w:trHeight w:val="1839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67AA" w14:textId="77777777" w:rsidR="008C5525" w:rsidRDefault="008C5525">
            <w:pPr>
              <w:jc w:val="left"/>
            </w:pPr>
            <w:bookmarkStart w:id="1" w:name="_Hlk75332377"/>
          </w:p>
          <w:p w14:paraId="69EB2EA9" w14:textId="330A2E4F" w:rsidR="00DD4137" w:rsidRDefault="00DD4137">
            <w:pPr>
              <w:jc w:val="left"/>
            </w:pPr>
            <w:r>
              <w:t xml:space="preserve">The role of the </w:t>
            </w:r>
            <w:r w:rsidR="0006700D">
              <w:t>Head of Girls</w:t>
            </w:r>
            <w:r>
              <w:t xml:space="preserve"> handles the day to day operations of the girls programme and includes meeting the criteria contained within the ETC Licence awarded by the FA. </w:t>
            </w:r>
          </w:p>
          <w:p w14:paraId="66189272" w14:textId="77777777" w:rsidR="0075357E" w:rsidRDefault="0075357E">
            <w:pPr>
              <w:jc w:val="left"/>
            </w:pPr>
          </w:p>
          <w:p w14:paraId="1CCC3DA8" w14:textId="0322C852" w:rsidR="00DD4137" w:rsidRDefault="00DD4137">
            <w:pPr>
              <w:jc w:val="left"/>
              <w:rPr>
                <w:rFonts w:cstheme="minorHAnsi"/>
                <w:lang w:eastAsia="en-GB"/>
              </w:rPr>
            </w:pPr>
            <w:r>
              <w:t xml:space="preserve">• </w:t>
            </w:r>
            <w:r w:rsidR="00293969">
              <w:t xml:space="preserve"> </w:t>
            </w:r>
            <w:r w:rsidRPr="00DD4137">
              <w:t xml:space="preserve">To </w:t>
            </w:r>
            <w:r w:rsidR="00A754A5">
              <w:t xml:space="preserve">help </w:t>
            </w:r>
            <w:r w:rsidRPr="00DD4137">
              <w:t>build and implement a full coaching structure</w:t>
            </w:r>
            <w:r>
              <w:t xml:space="preserve">, </w:t>
            </w:r>
            <w:r w:rsidRPr="00DD4137">
              <w:t>philosophy</w:t>
            </w:r>
            <w:r>
              <w:rPr>
                <w:rFonts w:cstheme="minorHAnsi"/>
                <w:lang w:eastAsia="en-GB"/>
              </w:rPr>
              <w:t>, and the age specific development needs of the players</w:t>
            </w:r>
          </w:p>
          <w:p w14:paraId="307C73CA" w14:textId="77777777" w:rsidR="0075357E" w:rsidRDefault="0075357E">
            <w:pPr>
              <w:jc w:val="left"/>
            </w:pPr>
          </w:p>
          <w:p w14:paraId="7E69E5ED" w14:textId="61E462EE" w:rsidR="00DD4137" w:rsidRDefault="00DD4137">
            <w:pPr>
              <w:jc w:val="left"/>
            </w:pPr>
            <w:r>
              <w:t>•</w:t>
            </w:r>
            <w:r w:rsidR="0072365E">
              <w:t xml:space="preserve">  </w:t>
            </w:r>
            <w:r>
              <w:t xml:space="preserve">The </w:t>
            </w:r>
            <w:r w:rsidR="009D14C4">
              <w:t>HoG</w:t>
            </w:r>
            <w:r>
              <w:t xml:space="preserve"> is responsible for the overall development and organisation of the programme activities and is the main point of contact for any enquiries. </w:t>
            </w:r>
          </w:p>
          <w:p w14:paraId="1D5C0863" w14:textId="77777777" w:rsidR="0075357E" w:rsidRDefault="0075357E">
            <w:pPr>
              <w:jc w:val="left"/>
            </w:pPr>
          </w:p>
          <w:p w14:paraId="6881905E" w14:textId="39110862" w:rsidR="001954BA" w:rsidRDefault="001954BA">
            <w:pPr>
              <w:jc w:val="left"/>
            </w:pPr>
            <w:r>
              <w:t>•</w:t>
            </w:r>
            <w:r w:rsidR="008C5525">
              <w:t xml:space="preserve"> </w:t>
            </w:r>
            <w:r>
              <w:t xml:space="preserve"> Ensure the development of girls with a view to produce players that are up to first team standard.</w:t>
            </w:r>
          </w:p>
          <w:p w14:paraId="011A93AD" w14:textId="77777777" w:rsidR="0075357E" w:rsidRDefault="0075357E">
            <w:pPr>
              <w:jc w:val="left"/>
            </w:pPr>
          </w:p>
          <w:p w14:paraId="3FA6C1D0" w14:textId="02325DAD" w:rsidR="00DD4137" w:rsidRDefault="00DD4137">
            <w:pPr>
              <w:jc w:val="left"/>
            </w:pPr>
            <w:r>
              <w:t xml:space="preserve">• </w:t>
            </w:r>
            <w:r w:rsidR="008C5525">
              <w:t xml:space="preserve"> </w:t>
            </w:r>
            <w:r>
              <w:t xml:space="preserve">The </w:t>
            </w:r>
            <w:r w:rsidR="009D14C4">
              <w:t>HoG</w:t>
            </w:r>
            <w:r>
              <w:t xml:space="preserve"> will work closely with the General Manager</w:t>
            </w:r>
            <w:r w:rsidR="001F0522">
              <w:t xml:space="preserve"> and manage the FP lead and YDP lead</w:t>
            </w:r>
            <w:r>
              <w:t xml:space="preserve">. </w:t>
            </w:r>
          </w:p>
          <w:p w14:paraId="5CDE517B" w14:textId="77777777" w:rsidR="0075357E" w:rsidRDefault="0075357E">
            <w:pPr>
              <w:jc w:val="left"/>
            </w:pPr>
          </w:p>
          <w:p w14:paraId="7B662732" w14:textId="324E557D" w:rsidR="00DD4137" w:rsidRDefault="00DD4137">
            <w:pPr>
              <w:jc w:val="left"/>
            </w:pPr>
            <w:r>
              <w:t xml:space="preserve">• </w:t>
            </w:r>
            <w:r w:rsidR="008C5525">
              <w:t xml:space="preserve"> </w:t>
            </w:r>
            <w:r>
              <w:t xml:space="preserve">Ability to accommodate flexible working hours including evening and weekends. </w:t>
            </w:r>
          </w:p>
          <w:p w14:paraId="166E9D02" w14:textId="77777777" w:rsidR="0075357E" w:rsidRDefault="0075357E">
            <w:pPr>
              <w:jc w:val="left"/>
            </w:pPr>
          </w:p>
          <w:p w14:paraId="18FA92D1" w14:textId="336E876E" w:rsidR="00DD4137" w:rsidRDefault="00DD4137">
            <w:pPr>
              <w:jc w:val="left"/>
            </w:pPr>
            <w:r>
              <w:t xml:space="preserve">• </w:t>
            </w:r>
            <w:r w:rsidR="008C5525">
              <w:t xml:space="preserve"> </w:t>
            </w:r>
            <w:r>
              <w:t xml:space="preserve">The </w:t>
            </w:r>
            <w:r w:rsidR="001F0522">
              <w:t>HoG</w:t>
            </w:r>
            <w:r>
              <w:t xml:space="preserve"> must be present at every training session each week, as well as home and away games, which includes the setup and management of home matchdays </w:t>
            </w:r>
          </w:p>
          <w:p w14:paraId="48D48770" w14:textId="77777777" w:rsidR="0075357E" w:rsidRDefault="0075357E">
            <w:pPr>
              <w:jc w:val="left"/>
            </w:pPr>
          </w:p>
          <w:p w14:paraId="5FDF13E5" w14:textId="6A2BF54D" w:rsidR="00DD4137" w:rsidRDefault="00DD4137">
            <w:pPr>
              <w:jc w:val="left"/>
            </w:pPr>
            <w:r>
              <w:t xml:space="preserve">• </w:t>
            </w:r>
            <w:r w:rsidR="008C5525">
              <w:t xml:space="preserve"> </w:t>
            </w:r>
            <w:r>
              <w:t xml:space="preserve">Management, development and recruitment of all technical staff and volunteers across the girls set-up, inclusive of coaches, medical, performance and welfare. </w:t>
            </w:r>
          </w:p>
          <w:p w14:paraId="2C235293" w14:textId="77777777" w:rsidR="0075357E" w:rsidRDefault="0075357E">
            <w:pPr>
              <w:jc w:val="left"/>
            </w:pPr>
          </w:p>
          <w:p w14:paraId="1683085C" w14:textId="66BC8AF6" w:rsidR="00DD4137" w:rsidRDefault="00AF796B" w:rsidP="00AF796B">
            <w:pPr>
              <w:jc w:val="both"/>
              <w:rPr>
                <w:rFonts w:cstheme="minorHAnsi"/>
                <w:lang w:eastAsia="en-GB"/>
              </w:rPr>
            </w:pPr>
            <w:r>
              <w:t>•</w:t>
            </w:r>
            <w:r w:rsidR="008C5525">
              <w:t xml:space="preserve">  </w:t>
            </w:r>
            <w:r w:rsidR="00DD4137">
              <w:rPr>
                <w:rFonts w:cstheme="minorHAnsi"/>
                <w:lang w:eastAsia="en-GB"/>
              </w:rPr>
              <w:t>Ensuring suitable levels of CPD for coaches and players</w:t>
            </w:r>
          </w:p>
          <w:p w14:paraId="0DF17540" w14:textId="77777777" w:rsidR="0075357E" w:rsidRDefault="0075357E" w:rsidP="00AF796B">
            <w:pPr>
              <w:jc w:val="both"/>
              <w:rPr>
                <w:rFonts w:cstheme="minorHAnsi"/>
                <w:lang w:eastAsia="en-GB"/>
              </w:rPr>
            </w:pPr>
          </w:p>
          <w:p w14:paraId="3BD7FA24" w14:textId="423A3F2F" w:rsidR="00F81B67" w:rsidRDefault="00F81B67" w:rsidP="00F81B67">
            <w:pPr>
              <w:jc w:val="left"/>
            </w:pPr>
            <w:r>
              <w:t xml:space="preserve">• </w:t>
            </w:r>
            <w:r w:rsidR="008C5525">
              <w:t xml:space="preserve"> </w:t>
            </w:r>
            <w:r>
              <w:t xml:space="preserve">Carry out relevant and dynamic appraisals that aid learning and development within the Club Philosophy </w:t>
            </w:r>
          </w:p>
          <w:p w14:paraId="42786D23" w14:textId="77777777" w:rsidR="0075357E" w:rsidRDefault="0075357E" w:rsidP="00F81B67">
            <w:pPr>
              <w:jc w:val="left"/>
            </w:pPr>
          </w:p>
          <w:p w14:paraId="23B08130" w14:textId="0658ABDE" w:rsidR="00DD4137" w:rsidRDefault="00DD4137">
            <w:pPr>
              <w:jc w:val="left"/>
            </w:pPr>
            <w:r>
              <w:t xml:space="preserve">• </w:t>
            </w:r>
            <w:r w:rsidR="008C5525">
              <w:t xml:space="preserve"> </w:t>
            </w:r>
            <w:r>
              <w:t>To lead on the welfare of all persons within the girls programme in conjunction with the Head of Safeguarding</w:t>
            </w:r>
          </w:p>
          <w:p w14:paraId="0EA7221B" w14:textId="77777777" w:rsidR="0075357E" w:rsidRDefault="0075357E">
            <w:pPr>
              <w:jc w:val="left"/>
            </w:pPr>
          </w:p>
          <w:p w14:paraId="4558CCC7" w14:textId="12C62597" w:rsidR="00DD4137" w:rsidRDefault="00DD4137">
            <w:pPr>
              <w:jc w:val="left"/>
            </w:pPr>
            <w:r>
              <w:t>•</w:t>
            </w:r>
            <w:r w:rsidR="008C5525">
              <w:t xml:space="preserve"> </w:t>
            </w:r>
            <w:r>
              <w:t xml:space="preserve"> Ensure concise, accurate and proactive communication of information across the programme, to players, parents and staff members </w:t>
            </w:r>
          </w:p>
          <w:p w14:paraId="30F76A64" w14:textId="77777777" w:rsidR="0075357E" w:rsidRDefault="0075357E">
            <w:pPr>
              <w:jc w:val="left"/>
            </w:pPr>
          </w:p>
          <w:p w14:paraId="0D0A6327" w14:textId="566529E5" w:rsidR="00AF796B" w:rsidRDefault="00AF796B" w:rsidP="00AF796B">
            <w:pPr>
              <w:jc w:val="both"/>
              <w:rPr>
                <w:rFonts w:cstheme="minorHAnsi"/>
                <w:lang w:eastAsia="en-GB"/>
              </w:rPr>
            </w:pPr>
            <w:r>
              <w:t>•</w:t>
            </w:r>
            <w:r w:rsidR="008C5525">
              <w:t xml:space="preserve">  </w:t>
            </w:r>
            <w:r>
              <w:rPr>
                <w:rFonts w:cstheme="minorHAnsi"/>
                <w:lang w:eastAsia="en-GB"/>
              </w:rPr>
              <w:t xml:space="preserve">Manage the trials and retention process, ensuring the highest levels of competition </w:t>
            </w:r>
          </w:p>
          <w:p w14:paraId="43C0C61A" w14:textId="77777777" w:rsidR="0075357E" w:rsidRDefault="0075357E" w:rsidP="00AF796B">
            <w:pPr>
              <w:jc w:val="both"/>
              <w:rPr>
                <w:rFonts w:cstheme="minorHAnsi"/>
                <w:lang w:eastAsia="en-GB"/>
              </w:rPr>
            </w:pPr>
          </w:p>
          <w:p w14:paraId="29E962A6" w14:textId="4FB9D6F1" w:rsidR="00BD5F0F" w:rsidRDefault="00606924" w:rsidP="00606924">
            <w:pPr>
              <w:jc w:val="both"/>
              <w:rPr>
                <w:rFonts w:cstheme="minorHAnsi"/>
                <w:lang w:eastAsia="en-GB"/>
              </w:rPr>
            </w:pPr>
            <w:r>
              <w:t>•</w:t>
            </w:r>
            <w:r w:rsidR="008C5525">
              <w:t xml:space="preserve">  </w:t>
            </w:r>
            <w:r>
              <w:rPr>
                <w:rFonts w:cstheme="minorHAnsi"/>
                <w:lang w:eastAsia="en-GB"/>
              </w:rPr>
              <w:t xml:space="preserve">Organise pre-season fixtures, book venues and </w:t>
            </w:r>
            <w:r w:rsidR="00BD5F0F">
              <w:rPr>
                <w:rFonts w:cstheme="minorHAnsi"/>
                <w:lang w:eastAsia="en-GB"/>
              </w:rPr>
              <w:t>arrang</w:t>
            </w:r>
            <w:r w:rsidR="008C0403">
              <w:rPr>
                <w:rFonts w:cstheme="minorHAnsi"/>
                <w:lang w:eastAsia="en-GB"/>
              </w:rPr>
              <w:t>e</w:t>
            </w:r>
            <w:r w:rsidR="00BD5F0F">
              <w:rPr>
                <w:rFonts w:cstheme="minorHAnsi"/>
                <w:lang w:eastAsia="en-GB"/>
              </w:rPr>
              <w:t xml:space="preserve"> officials where necessary</w:t>
            </w:r>
          </w:p>
          <w:p w14:paraId="2872D953" w14:textId="77777777" w:rsidR="0075357E" w:rsidRDefault="0075357E" w:rsidP="00606924">
            <w:pPr>
              <w:jc w:val="both"/>
              <w:rPr>
                <w:rFonts w:cstheme="minorHAnsi"/>
                <w:lang w:eastAsia="en-GB"/>
              </w:rPr>
            </w:pPr>
          </w:p>
          <w:p w14:paraId="5169A5CD" w14:textId="24934E94" w:rsidR="00BD5F0F" w:rsidRDefault="00BD5F0F" w:rsidP="00606924">
            <w:pPr>
              <w:jc w:val="both"/>
              <w:rPr>
                <w:rFonts w:cstheme="minorHAnsi"/>
                <w:lang w:eastAsia="en-GB"/>
              </w:rPr>
            </w:pPr>
            <w:r>
              <w:t>•</w:t>
            </w:r>
            <w:r>
              <w:rPr>
                <w:rFonts w:cstheme="minorHAnsi"/>
                <w:lang w:eastAsia="en-GB"/>
              </w:rPr>
              <w:t xml:space="preserve"> </w:t>
            </w:r>
            <w:r w:rsidR="008C5525">
              <w:rPr>
                <w:rFonts w:cstheme="minorHAnsi"/>
                <w:lang w:eastAsia="en-GB"/>
              </w:rPr>
              <w:t xml:space="preserve"> </w:t>
            </w:r>
            <w:r>
              <w:rPr>
                <w:rFonts w:cstheme="minorHAnsi"/>
                <w:lang w:eastAsia="en-GB"/>
              </w:rPr>
              <w:t xml:space="preserve">Ensure facilities </w:t>
            </w:r>
            <w:r w:rsidR="004A4653">
              <w:rPr>
                <w:rFonts w:cstheme="minorHAnsi"/>
                <w:lang w:eastAsia="en-GB"/>
              </w:rPr>
              <w:t>are booked in advance for fixtures and training</w:t>
            </w:r>
          </w:p>
          <w:p w14:paraId="27B3A6C8" w14:textId="77777777" w:rsidR="0075357E" w:rsidRDefault="0075357E" w:rsidP="00606924">
            <w:pPr>
              <w:jc w:val="both"/>
              <w:rPr>
                <w:rFonts w:cstheme="minorHAnsi"/>
                <w:lang w:eastAsia="en-GB"/>
              </w:rPr>
            </w:pPr>
          </w:p>
          <w:p w14:paraId="7AB4CCED" w14:textId="32DD1E4B" w:rsidR="00DD4137" w:rsidRDefault="00DD4137">
            <w:pPr>
              <w:jc w:val="left"/>
            </w:pPr>
            <w:r>
              <w:lastRenderedPageBreak/>
              <w:t xml:space="preserve">• Support, deliver and drive Club-wide strategies and objectives as set by General Manager </w:t>
            </w:r>
          </w:p>
          <w:p w14:paraId="170B5CB3" w14:textId="77777777" w:rsidR="001F6ED8" w:rsidRDefault="001F6ED8">
            <w:pPr>
              <w:jc w:val="left"/>
            </w:pPr>
          </w:p>
          <w:p w14:paraId="327F42B9" w14:textId="7A011A24" w:rsidR="00DD4137" w:rsidRDefault="00DD4137">
            <w:pPr>
              <w:jc w:val="left"/>
            </w:pPr>
            <w:r>
              <w:t xml:space="preserve">• Management of administrative duties to ensure the smooth running of the Club along with meeting the governance and criteria set by the ETC Licence provided by the FA. </w:t>
            </w:r>
          </w:p>
          <w:p w14:paraId="7C951862" w14:textId="77777777" w:rsidR="0075357E" w:rsidRDefault="0075357E">
            <w:pPr>
              <w:jc w:val="left"/>
            </w:pPr>
          </w:p>
          <w:p w14:paraId="572F80FB" w14:textId="77777777" w:rsidR="00DD4137" w:rsidRDefault="00DD4137">
            <w:pPr>
              <w:jc w:val="left"/>
            </w:pPr>
            <w:r>
              <w:t xml:space="preserve">• Ensure compliance with all the Policies and Procedures contained within the Staff Handbook, paying particular regard to the Equal Opportunities Policy and Health &amp; Safety Policy and procedures at all times. </w:t>
            </w:r>
          </w:p>
          <w:p w14:paraId="5ADF884F" w14:textId="77777777" w:rsidR="0075357E" w:rsidRDefault="0075357E">
            <w:pPr>
              <w:jc w:val="left"/>
            </w:pPr>
          </w:p>
          <w:p w14:paraId="54740BDA" w14:textId="0B08CAB3" w:rsidR="00DD4137" w:rsidRDefault="00DD4137">
            <w:pPr>
              <w:jc w:val="left"/>
            </w:pPr>
            <w:r>
              <w:t>• Any other duties as deemed necessary by the General Manager.</w:t>
            </w:r>
          </w:p>
          <w:p w14:paraId="02F78EE7" w14:textId="77777777" w:rsidR="00DD4137" w:rsidRPr="00DD4137" w:rsidRDefault="00DD4137" w:rsidP="00DD4137">
            <w:pPr>
              <w:ind w:left="360"/>
              <w:jc w:val="center"/>
              <w:rPr>
                <w:rFonts w:eastAsia="Times New Roman"/>
                <w:lang w:val="en-US"/>
              </w:rPr>
            </w:pPr>
          </w:p>
          <w:p w14:paraId="6E31EC30" w14:textId="77777777" w:rsidR="00DD4137" w:rsidRDefault="00DD4137">
            <w:pPr>
              <w:pStyle w:val="ListParagraph"/>
              <w:rPr>
                <w:rFonts w:ascii="Effra" w:hAnsi="Effra"/>
                <w:sz w:val="22"/>
                <w:szCs w:val="22"/>
                <w:lang w:val="en-US"/>
              </w:rPr>
            </w:pPr>
          </w:p>
        </w:tc>
        <w:bookmarkEnd w:id="1"/>
      </w:tr>
      <w:tr w:rsidR="00AF796B" w14:paraId="7186717E" w14:textId="77777777" w:rsidTr="00293969">
        <w:trPr>
          <w:trHeight w:val="424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EE79" w14:textId="2367612A" w:rsidR="00AF796B" w:rsidRPr="00C368B7" w:rsidRDefault="00AF796B" w:rsidP="000157D8">
            <w:pPr>
              <w:jc w:val="left"/>
              <w:rPr>
                <w:b/>
                <w:bCs/>
              </w:rPr>
            </w:pPr>
            <w:r w:rsidRPr="00423F99">
              <w:rPr>
                <w:rFonts w:ascii="Effra" w:hAnsi="Effra"/>
                <w:b/>
                <w:bCs/>
                <w:color w:val="000000"/>
                <w:sz w:val="24"/>
                <w:szCs w:val="24"/>
              </w:rPr>
              <w:lastRenderedPageBreak/>
              <w:t>Skills, knowledge and experience</w:t>
            </w:r>
          </w:p>
        </w:tc>
      </w:tr>
      <w:tr w:rsidR="00AF796B" w14:paraId="1F6A6E91" w14:textId="77777777" w:rsidTr="00293969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0FBB" w14:textId="2BB3D9A8" w:rsidR="001F6ED8" w:rsidRPr="001F6ED8" w:rsidRDefault="001F6ED8" w:rsidP="001F6ED8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Qualification; Essential UEFA ‘B’, Preferable UEFA ‘A’ License or working towards</w:t>
            </w:r>
          </w:p>
          <w:p w14:paraId="2F62B6CC" w14:textId="42BD71F8" w:rsidR="00AF796B" w:rsidRDefault="00AF796B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Strong working knowledge and passion for the Girls game </w:t>
            </w:r>
          </w:p>
          <w:p w14:paraId="790B80F4" w14:textId="77777777" w:rsidR="00AF796B" w:rsidRDefault="00AF796B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Substantial experience of coaching football and developing young players in a development focussed environment </w:t>
            </w:r>
          </w:p>
          <w:p w14:paraId="495F1078" w14:textId="77777777" w:rsidR="00AF796B" w:rsidRDefault="00AF796B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Ability to work collaboratively in putting strategic documentation together whilst considering the wider picture  </w:t>
            </w:r>
          </w:p>
          <w:p w14:paraId="5F07A0EF" w14:textId="77777777" w:rsidR="00AF796B" w:rsidRDefault="00AF796B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Excellent people management and communication skills </w:t>
            </w:r>
          </w:p>
          <w:p w14:paraId="42B5ECC1" w14:textId="77777777" w:rsidR="00AF796B" w:rsidRDefault="00AF796B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 proactive and ‘can-do’ mentality, with a solutions-based focus to problem solving</w:t>
            </w:r>
          </w:p>
          <w:p w14:paraId="58489296" w14:textId="4A281085" w:rsidR="00AF796B" w:rsidRDefault="00AF796B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An excellent role model to all players</w:t>
            </w:r>
            <w:r w:rsidR="00081294">
              <w:rPr>
                <w:rFonts w:eastAsia="Times New Roman" w:cstheme="minorHAnsi"/>
                <w:lang w:eastAsia="en-GB"/>
              </w:rPr>
              <w:t xml:space="preserve"> and staff</w:t>
            </w:r>
          </w:p>
          <w:p w14:paraId="08CF8D2F" w14:textId="77777777" w:rsidR="00AF796B" w:rsidRDefault="00AF796B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Good organisation and attention to detail </w:t>
            </w:r>
          </w:p>
          <w:p w14:paraId="1D67F275" w14:textId="5A8558F5" w:rsidR="00AF796B" w:rsidRDefault="00AF796B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Experience of managing coaches</w:t>
            </w:r>
            <w:r w:rsidR="00DC2BD7">
              <w:rPr>
                <w:rFonts w:eastAsia="Times New Roman" w:cstheme="minorHAnsi"/>
                <w:lang w:eastAsia="en-GB"/>
              </w:rPr>
              <w:t>, players</w:t>
            </w:r>
            <w:r>
              <w:rPr>
                <w:rFonts w:eastAsia="Times New Roman" w:cstheme="minorHAnsi"/>
                <w:lang w:eastAsia="en-GB"/>
              </w:rPr>
              <w:t xml:space="preserve"> and volunteers</w:t>
            </w:r>
          </w:p>
          <w:p w14:paraId="37CD36B1" w14:textId="77777777" w:rsidR="00AF796B" w:rsidRDefault="00AF796B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Flexibility to work evenings and weekends around the football schedule</w:t>
            </w:r>
          </w:p>
          <w:p w14:paraId="678CEB90" w14:textId="77777777" w:rsidR="00AF796B" w:rsidRDefault="00AF796B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Strong understanding of the FA rules and regulations </w:t>
            </w:r>
          </w:p>
          <w:p w14:paraId="2435EEB9" w14:textId="77777777" w:rsidR="00AF796B" w:rsidRDefault="00AF796B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Strong understanding of the FA Safeguarding guidelines </w:t>
            </w:r>
          </w:p>
          <w:p w14:paraId="4413E8E7" w14:textId="77777777" w:rsidR="00AF796B" w:rsidRDefault="00AF796B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Full driving licence and access to a vehicle</w:t>
            </w:r>
          </w:p>
          <w:p w14:paraId="4ADABA83" w14:textId="29ED2D82" w:rsidR="00AF796B" w:rsidRDefault="00B5427A" w:rsidP="00AF796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An</w:t>
            </w:r>
            <w:r w:rsidR="00AF796B">
              <w:rPr>
                <w:rFonts w:eastAsia="Times New Roman" w:cstheme="minorHAnsi"/>
                <w:lang w:eastAsia="en-GB"/>
              </w:rPr>
              <w:t xml:space="preserve"> Enhanced DBS (CRB) check </w:t>
            </w:r>
            <w:r>
              <w:rPr>
                <w:rFonts w:eastAsia="Times New Roman" w:cstheme="minorHAnsi"/>
                <w:lang w:eastAsia="en-GB"/>
              </w:rPr>
              <w:t>will be performed before this role is offered</w:t>
            </w:r>
            <w:r w:rsidR="001F6ED8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160380A1" w14:textId="77777777" w:rsidR="00AF796B" w:rsidRDefault="00AF796B" w:rsidP="000157D8">
            <w:pPr>
              <w:jc w:val="left"/>
            </w:pPr>
          </w:p>
        </w:tc>
      </w:tr>
    </w:tbl>
    <w:p w14:paraId="0163B2A2" w14:textId="7974CAC1" w:rsidR="001C097F" w:rsidRDefault="001C097F"/>
    <w:sectPr w:rsidR="001C0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in;height:540pt" o:bullet="t">
        <v:imagedata r:id="rId1" o:title="clip_image001"/>
      </v:shape>
    </w:pict>
  </w:numPicBullet>
  <w:abstractNum w:abstractNumId="0" w15:restartNumberingAfterBreak="0">
    <w:nsid w:val="1C3D04C3"/>
    <w:multiLevelType w:val="multilevel"/>
    <w:tmpl w:val="A770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511A5"/>
    <w:multiLevelType w:val="hybridMultilevel"/>
    <w:tmpl w:val="7ABE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41501"/>
    <w:multiLevelType w:val="hybridMultilevel"/>
    <w:tmpl w:val="FBAEF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B25B5"/>
    <w:multiLevelType w:val="hybridMultilevel"/>
    <w:tmpl w:val="97C86AFA"/>
    <w:lvl w:ilvl="0" w:tplc="810642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86552">
    <w:abstractNumId w:val="3"/>
  </w:num>
  <w:num w:numId="2" w16cid:durableId="188416356">
    <w:abstractNumId w:val="2"/>
  </w:num>
  <w:num w:numId="3" w16cid:durableId="891816906">
    <w:abstractNumId w:val="1"/>
  </w:num>
  <w:num w:numId="4" w16cid:durableId="147792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37"/>
    <w:rsid w:val="0002184F"/>
    <w:rsid w:val="0006700D"/>
    <w:rsid w:val="00081294"/>
    <w:rsid w:val="000C1C65"/>
    <w:rsid w:val="000E53A0"/>
    <w:rsid w:val="001954BA"/>
    <w:rsid w:val="001C097F"/>
    <w:rsid w:val="001F0522"/>
    <w:rsid w:val="001F6ED8"/>
    <w:rsid w:val="00234DEB"/>
    <w:rsid w:val="00267355"/>
    <w:rsid w:val="00293969"/>
    <w:rsid w:val="002A1CB8"/>
    <w:rsid w:val="002A73E1"/>
    <w:rsid w:val="002C6D31"/>
    <w:rsid w:val="00336BE7"/>
    <w:rsid w:val="003926B0"/>
    <w:rsid w:val="003C459F"/>
    <w:rsid w:val="00423F99"/>
    <w:rsid w:val="004443CC"/>
    <w:rsid w:val="0049384E"/>
    <w:rsid w:val="004A4653"/>
    <w:rsid w:val="004B5B25"/>
    <w:rsid w:val="005A735F"/>
    <w:rsid w:val="00606924"/>
    <w:rsid w:val="006346E0"/>
    <w:rsid w:val="00657BDF"/>
    <w:rsid w:val="0067579B"/>
    <w:rsid w:val="006E59B5"/>
    <w:rsid w:val="006F4C60"/>
    <w:rsid w:val="0072365E"/>
    <w:rsid w:val="0075357E"/>
    <w:rsid w:val="007559C9"/>
    <w:rsid w:val="00790883"/>
    <w:rsid w:val="007F7DB1"/>
    <w:rsid w:val="008C0403"/>
    <w:rsid w:val="008C5525"/>
    <w:rsid w:val="00900437"/>
    <w:rsid w:val="009C0408"/>
    <w:rsid w:val="009D14C4"/>
    <w:rsid w:val="00A754A5"/>
    <w:rsid w:val="00AC191E"/>
    <w:rsid w:val="00AC4465"/>
    <w:rsid w:val="00AC70FC"/>
    <w:rsid w:val="00AF796B"/>
    <w:rsid w:val="00B5427A"/>
    <w:rsid w:val="00B557A1"/>
    <w:rsid w:val="00BD39DB"/>
    <w:rsid w:val="00BD5F0F"/>
    <w:rsid w:val="00C368B7"/>
    <w:rsid w:val="00DA078F"/>
    <w:rsid w:val="00DC2BD7"/>
    <w:rsid w:val="00DD4137"/>
    <w:rsid w:val="00DF7A23"/>
    <w:rsid w:val="00E6683A"/>
    <w:rsid w:val="00F27A9A"/>
    <w:rsid w:val="00F76367"/>
    <w:rsid w:val="00F81B6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0CF9"/>
  <w15:chartTrackingRefBased/>
  <w15:docId w15:val="{8E7AF27C-B1D3-4CDA-9992-8198123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37"/>
    <w:pPr>
      <w:spacing w:after="0" w:line="240" w:lineRule="auto"/>
      <w:jc w:val="right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37"/>
    <w:pPr>
      <w:ind w:left="720"/>
      <w:contextualSpacing/>
      <w:jc w:val="left"/>
    </w:pPr>
    <w:rPr>
      <w:rFonts w:ascii="Cambria" w:hAnsi="Cambr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79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Sims</dc:creator>
  <cp:keywords/>
  <dc:description/>
  <cp:lastModifiedBy>Gemma Sims</cp:lastModifiedBy>
  <cp:revision>58</cp:revision>
  <dcterms:created xsi:type="dcterms:W3CDTF">2023-04-18T13:55:00Z</dcterms:created>
  <dcterms:modified xsi:type="dcterms:W3CDTF">2023-06-28T11:40:00Z</dcterms:modified>
</cp:coreProperties>
</file>